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32"/>
          <w:szCs w:val="32"/>
          <w:u w:val="none"/>
          <w:shd w:val="clear" w:fill="FFFFFF"/>
        </w:rPr>
        <w:t>招标公告</w:t>
      </w:r>
    </w:p>
    <w:p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深圳市福田区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北京大学附属中学深圳学校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教室护眼灯采购安装项目的潜在供应商应在（深圳市福田区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北京大学附属中学深圳学校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）获取采购文件，并于 2024 年 11月19日15:30 （北京时间）前提交应答文件。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项目基本情况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项目编号：BDFZSZXX2024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110703  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项目名称：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深圳市福田区</w:t>
      </w:r>
      <w:r>
        <w:rPr>
          <w:rFonts w:hint="eastAsia" w:ascii="仿宋" w:hAnsi="仿宋" w:eastAsia="仿宋" w:cs="仿宋"/>
          <w:kern w:val="2"/>
          <w:sz w:val="24"/>
          <w:szCs w:val="24"/>
        </w:rPr>
        <w:t>北京大学附属中学深圳学校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教室护眼灯采购安装项目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采购方式（组织形式）：综合评分法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预算金额：人民币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168000</w:t>
      </w:r>
      <w:r>
        <w:rPr>
          <w:rFonts w:hint="eastAsia" w:ascii="仿宋" w:hAnsi="仿宋" w:eastAsia="仿宋" w:cs="仿宋"/>
          <w:kern w:val="2"/>
          <w:sz w:val="24"/>
          <w:szCs w:val="24"/>
        </w:rPr>
        <w:t>.00元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最高限价：人民币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168000</w:t>
      </w:r>
      <w:r>
        <w:rPr>
          <w:rFonts w:hint="eastAsia" w:ascii="仿宋" w:hAnsi="仿宋" w:eastAsia="仿宋" w:cs="仿宋"/>
          <w:kern w:val="2"/>
          <w:sz w:val="24"/>
          <w:szCs w:val="24"/>
        </w:rPr>
        <w:t>.00元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采购需求：以下为部分参数，其他详见招标文件。</w:t>
      </w:r>
    </w:p>
    <w:tbl>
      <w:tblPr>
        <w:tblStyle w:val="7"/>
        <w:tblpPr w:leftFromText="180" w:rightFromText="180" w:vertAnchor="text" w:horzAnchor="page" w:tblpX="1974" w:tblpY="186"/>
        <w:tblOverlap w:val="never"/>
        <w:tblW w:w="8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3"/>
        <w:gridCol w:w="2831"/>
        <w:gridCol w:w="1728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283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货物名称</w:t>
            </w:r>
          </w:p>
        </w:tc>
        <w:tc>
          <w:tcPr>
            <w:tcW w:w="17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数量</w:t>
            </w:r>
          </w:p>
        </w:tc>
        <w:tc>
          <w:tcPr>
            <w:tcW w:w="186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6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LED教室灯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378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7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LED黑板灯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安装调试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间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申请人的资格要求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1.满足《中华人民共和国政府采购法》第二十二条规定（要求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提供营业执照复印件加盖投标单位公章）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；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.参与本项目投标前三年内，在经营活动中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无行贿犯罪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记录（由供应商在《无行贿犯罪记录声明函》中作出声明）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；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.投标人未被列入“信用中国”网站（www.creditchina.gov.cn）失信被执行人名 单、重大税收违法案件当事人名单和中国政府采购网（www.ccgp.gov.cn）政府采购严重违法失信行为记录名单；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.本项目不接受联合体投标，不允许转包、分包。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获取招标文件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1、投标报名时间、方式及报名所需资料：</w:t>
      </w:r>
      <w:r>
        <w:rPr>
          <w:rFonts w:hint="eastAsia" w:ascii="仿宋" w:hAnsi="仿宋" w:eastAsia="仿宋" w:cs="仿宋"/>
          <w:kern w:val="2"/>
          <w:sz w:val="24"/>
          <w:szCs w:val="24"/>
        </w:rPr>
        <w:tab/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/>
        </w:rPr>
        <w:t>①</w:t>
      </w:r>
      <w:r>
        <w:rPr>
          <w:rFonts w:hint="eastAsia" w:ascii="仿宋" w:hAnsi="仿宋" w:eastAsia="仿宋" w:cs="仿宋"/>
          <w:kern w:val="2"/>
          <w:sz w:val="24"/>
          <w:szCs w:val="24"/>
        </w:rPr>
        <w:t>报名时间：符合资格的供应商应当在202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24"/>
          <w:szCs w:val="24"/>
        </w:rPr>
        <w:t>日起至202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18_</w:t>
      </w:r>
      <w:r>
        <w:rPr>
          <w:rFonts w:hint="eastAsia" w:ascii="仿宋" w:hAnsi="仿宋" w:eastAsia="仿宋" w:cs="仿宋"/>
          <w:kern w:val="2"/>
          <w:sz w:val="24"/>
          <w:szCs w:val="24"/>
        </w:rPr>
        <w:t>日17：00（北京时间，节假日除外）前与招标方联系，并递交报名文件。联系人：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周</w:t>
      </w:r>
      <w:r>
        <w:rPr>
          <w:rFonts w:hint="eastAsia" w:ascii="仿宋" w:hAnsi="仿宋" w:eastAsia="仿宋" w:cs="仿宋"/>
          <w:kern w:val="2"/>
          <w:sz w:val="24"/>
          <w:szCs w:val="24"/>
        </w:rPr>
        <w:t>老师，电话：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13510220029</w:t>
      </w:r>
      <w:r>
        <w:rPr>
          <w:rFonts w:hint="eastAsia" w:ascii="仿宋" w:hAnsi="仿宋" w:eastAsia="仿宋" w:cs="仿宋"/>
          <w:kern w:val="2"/>
          <w:sz w:val="24"/>
          <w:szCs w:val="24"/>
        </w:rPr>
        <w:t>，qq：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14708184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/>
        </w:rPr>
        <w:t>②</w:t>
      </w:r>
      <w:r>
        <w:rPr>
          <w:rFonts w:hint="eastAsia" w:ascii="仿宋" w:hAnsi="仿宋" w:eastAsia="仿宋" w:cs="仿宋"/>
          <w:kern w:val="2"/>
          <w:sz w:val="24"/>
          <w:szCs w:val="24"/>
        </w:rPr>
        <w:t>报名方式：网络报名；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</w:rPr>
      </w:pPr>
      <w:r>
        <w:rPr>
          <w:rFonts w:hint="default" w:ascii="仿宋" w:hAnsi="仿宋" w:eastAsia="仿宋" w:cs="仿宋"/>
          <w:kern w:val="2"/>
          <w:sz w:val="24"/>
          <w:szCs w:val="24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 xml:space="preserve">报名所需资料：①法定代表人证明书和授权委托书（格式自定）；②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instrText xml:space="preserve"> HYPERLINK "mailto:营业执照、无行贿犯罪记录承诺书；③从工商局查询到的企业工商注册信息、股东信息、主要人员、公司变更记录等截图；④所提供资料应扫描成一个PDF格式文件并发送到邮箱14708184@qq.com。" </w:instrTex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营业执照、无行贿犯罪记录承诺书；③从工商局查询到的企业工商注册信息、股东信息、主要人员、公司变更记录等截图；</w:t>
      </w:r>
      <w:r>
        <w:rPr>
          <w:rFonts w:hint="eastAsia" w:ascii="仿宋" w:hAnsi="仿宋" w:eastAsia="仿宋" w:cs="仿宋"/>
          <w:color w:val="C00000"/>
          <w:kern w:val="2"/>
          <w:sz w:val="24"/>
          <w:szCs w:val="24"/>
          <w:highlight w:val="none"/>
        </w:rPr>
        <w:t>④所提供资料应扫描成一个PDF格式文件并发送到邮箱</w:t>
      </w:r>
      <w:r>
        <w:rPr>
          <w:rFonts w:hint="eastAsia" w:ascii="仿宋" w:hAnsi="仿宋" w:eastAsia="仿宋" w:cs="仿宋"/>
          <w:color w:val="C00000"/>
          <w:kern w:val="2"/>
          <w:sz w:val="24"/>
          <w:szCs w:val="24"/>
          <w:highlight w:val="none"/>
          <w:lang w:val="en-US" w:eastAsia="zh-CN"/>
        </w:rPr>
        <w:t>14708184</w:t>
      </w:r>
      <w:r>
        <w:rPr>
          <w:rFonts w:hint="eastAsia" w:ascii="仿宋" w:hAnsi="仿宋" w:eastAsia="仿宋" w:cs="仿宋"/>
          <w:color w:val="C00000"/>
          <w:kern w:val="2"/>
          <w:sz w:val="24"/>
          <w:szCs w:val="24"/>
          <w:highlight w:val="none"/>
        </w:rPr>
        <w:t>@qq.com。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fldChar w:fldCharType="end"/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2、标书领取方式：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时间：202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 日至 202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24"/>
          <w:szCs w:val="24"/>
        </w:rPr>
        <w:t>日，每天上午8:30至11:00，下午14:30至17:00（北京时间，法定节假日除外 ）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地点：邮箱发送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方式：采购人以电子邮件方式发送电子版采购文件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售价：免费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提交投标文件截止时间、地点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2024年11月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kern w:val="2"/>
          <w:sz w:val="24"/>
          <w:szCs w:val="24"/>
        </w:rPr>
        <w:t>日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kern w:val="2"/>
          <w:sz w:val="24"/>
          <w:szCs w:val="24"/>
        </w:rPr>
        <w:t>时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24"/>
          <w:szCs w:val="24"/>
        </w:rPr>
        <w:t>分（北京时间）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地点：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深圳市福田区</w:t>
      </w:r>
      <w:r>
        <w:rPr>
          <w:rFonts w:hint="eastAsia" w:ascii="仿宋" w:hAnsi="仿宋" w:eastAsia="仿宋" w:cs="仿宋"/>
          <w:kern w:val="2"/>
          <w:sz w:val="24"/>
          <w:szCs w:val="24"/>
        </w:rPr>
        <w:t>北京大学附属中学深圳学校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后勤服务处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五、公告期限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2024年11月7日至2024年11月19日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六、其他补充事宜</w:t>
      </w:r>
    </w:p>
    <w:p>
      <w:pPr>
        <w:pStyle w:val="2"/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1、开标时间：202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19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点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分（北京时间）</w:t>
      </w:r>
    </w:p>
    <w:p>
      <w:pPr>
        <w:pStyle w:val="2"/>
        <w:spacing w:line="360" w:lineRule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2、开标地点：深圳市福田区侨香三道99号北京大学附属中学三楼会议室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对本次招标提出询问，请按以下方式联系。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采购人信息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采购人：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深圳市福田区</w:t>
      </w:r>
      <w:r>
        <w:rPr>
          <w:rFonts w:hint="eastAsia" w:ascii="仿宋" w:hAnsi="仿宋" w:eastAsia="仿宋" w:cs="仿宋"/>
          <w:kern w:val="2"/>
          <w:sz w:val="24"/>
          <w:szCs w:val="24"/>
        </w:rPr>
        <w:t>北京大学附属中学深圳学校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地址：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深圳市福田区安侨香三道 99 号</w:t>
      </w:r>
    </w:p>
    <w:p>
      <w:pPr>
        <w:autoSpaceDE/>
        <w:autoSpaceDN/>
        <w:spacing w:line="360" w:lineRule="auto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联系人：周老师0755- 83979833</w:t>
      </w:r>
    </w:p>
    <w:p>
      <w:pPr>
        <w:autoSpaceDE/>
        <w:autoSpaceDN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</w:p>
    <w:p>
      <w:pPr>
        <w:autoSpaceDE/>
        <w:autoSpaceDN/>
        <w:spacing w:line="360" w:lineRule="auto"/>
        <w:jc w:val="right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深圳市福田区北京大学附属中学深圳学校 </w:t>
      </w:r>
    </w:p>
    <w:p>
      <w:pPr>
        <w:autoSpaceDE/>
        <w:autoSpaceDN/>
        <w:spacing w:line="360" w:lineRule="auto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                                                      2024年11月7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jcyYTgxNGNlNzM1MWQyYzIwOGE1ZTgyMzY1YTMifQ=="/>
  </w:docVars>
  <w:rsids>
    <w:rsidRoot w:val="00000000"/>
    <w:rsid w:val="03222A3A"/>
    <w:rsid w:val="0A8503B7"/>
    <w:rsid w:val="18032802"/>
    <w:rsid w:val="228A1037"/>
    <w:rsid w:val="254B1D93"/>
    <w:rsid w:val="25695F04"/>
    <w:rsid w:val="27EC01C7"/>
    <w:rsid w:val="2CD76381"/>
    <w:rsid w:val="32586854"/>
    <w:rsid w:val="32613E9E"/>
    <w:rsid w:val="338C2ECD"/>
    <w:rsid w:val="3AB76FF2"/>
    <w:rsid w:val="3B7F2074"/>
    <w:rsid w:val="40352509"/>
    <w:rsid w:val="43AD64C9"/>
    <w:rsid w:val="45590668"/>
    <w:rsid w:val="46242443"/>
    <w:rsid w:val="47ED75E7"/>
    <w:rsid w:val="48E37D07"/>
    <w:rsid w:val="4B69565A"/>
    <w:rsid w:val="563F23CE"/>
    <w:rsid w:val="5B134C4C"/>
    <w:rsid w:val="5F9C6A9D"/>
    <w:rsid w:val="678A2955"/>
    <w:rsid w:val="79D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toc 2"/>
    <w:basedOn w:val="1"/>
    <w:next w:val="1"/>
    <w:autoRedefine/>
    <w:qFormat/>
    <w:uiPriority w:val="1"/>
    <w:pPr>
      <w:spacing w:before="153"/>
      <w:ind w:left="1250"/>
    </w:pPr>
    <w:rPr>
      <w:sz w:val="21"/>
      <w:szCs w:val="21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760</Characters>
  <Lines>0</Lines>
  <Paragraphs>0</Paragraphs>
  <TotalTime>11</TotalTime>
  <ScaleCrop>false</ScaleCrop>
  <LinksUpToDate>false</LinksUpToDate>
  <CharactersWithSpaces>800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2024-11-05T03:01:00Z</dcterms:created>
  <dc:creator>cqq84</dc:creator>
  <cp:lastModifiedBy>周敏</cp:lastModifiedBy>
  <dcterms:modified xsi:type="dcterms:W3CDTF">2024-11-21T08:46:08Z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EA531A8833994922AFBAF35AE20A887E_13</vt:lpwstr>
  </property>
</Properties>
</file>